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F41AB" w14:textId="77777777" w:rsidR="001B21A2" w:rsidRPr="00D94C5D" w:rsidRDefault="00D94C5D" w:rsidP="00D94C5D">
      <w:pPr>
        <w:spacing w:after="0"/>
        <w:jc w:val="center"/>
        <w:rPr>
          <w:color w:val="632423" w:themeColor="accent2" w:themeShade="80"/>
          <w:sz w:val="40"/>
          <w:szCs w:val="40"/>
        </w:rPr>
      </w:pPr>
      <w:r>
        <w:rPr>
          <w:color w:val="632423" w:themeColor="accent2" w:themeShade="80"/>
          <w:sz w:val="40"/>
          <w:szCs w:val="40"/>
        </w:rPr>
        <w:t>Collin’s Model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83"/>
        <w:gridCol w:w="2234"/>
        <w:gridCol w:w="8528"/>
      </w:tblGrid>
      <w:tr w:rsidR="00D94C5D" w:rsidRPr="00175B05" w14:paraId="0E82C1C0" w14:textId="77777777" w:rsidTr="00D94C5D">
        <w:trPr>
          <w:trHeight w:val="1140"/>
        </w:trPr>
        <w:tc>
          <w:tcPr>
            <w:tcW w:w="2183" w:type="dxa"/>
            <w:vMerge w:val="restart"/>
          </w:tcPr>
          <w:p w14:paraId="3A270966" w14:textId="77777777" w:rsidR="001B21A2" w:rsidRDefault="001B21A2" w:rsidP="004F58E1">
            <w:pPr>
              <w:rPr>
                <w:sz w:val="20"/>
                <w:szCs w:val="20"/>
              </w:rPr>
            </w:pPr>
          </w:p>
          <w:p w14:paraId="06A06473" w14:textId="77777777" w:rsidR="001B21A2" w:rsidRPr="00175B05" w:rsidRDefault="001B21A2" w:rsidP="004F58E1">
            <w:pPr>
              <w:rPr>
                <w:sz w:val="20"/>
                <w:szCs w:val="20"/>
              </w:rPr>
            </w:pPr>
            <w:r w:rsidRPr="00175B05">
              <w:rPr>
                <w:sz w:val="20"/>
                <w:szCs w:val="20"/>
              </w:rPr>
              <w:t>Responsibility of the Teache</w:t>
            </w:r>
            <w:r>
              <w:rPr>
                <w:sz w:val="20"/>
                <w:szCs w:val="20"/>
              </w:rPr>
              <w:t>r</w:t>
            </w:r>
          </w:p>
        </w:tc>
        <w:tc>
          <w:tcPr>
            <w:tcW w:w="2234" w:type="dxa"/>
          </w:tcPr>
          <w:p w14:paraId="523A53D0" w14:textId="77777777" w:rsidR="001B21A2" w:rsidRPr="00175B05" w:rsidRDefault="001B21A2" w:rsidP="004F58E1">
            <w:pPr>
              <w:jc w:val="center"/>
              <w:rPr>
                <w:sz w:val="20"/>
                <w:szCs w:val="20"/>
              </w:rPr>
            </w:pPr>
            <w:r w:rsidRPr="00175B05">
              <w:rPr>
                <w:sz w:val="20"/>
                <w:szCs w:val="20"/>
              </w:rPr>
              <w:t>Modelling</w:t>
            </w:r>
          </w:p>
        </w:tc>
        <w:tc>
          <w:tcPr>
            <w:tcW w:w="8528" w:type="dxa"/>
          </w:tcPr>
          <w:p w14:paraId="22AE29B5" w14:textId="77777777" w:rsidR="001B21A2" w:rsidRPr="00175B05" w:rsidRDefault="001B21A2" w:rsidP="004F58E1">
            <w:pPr>
              <w:spacing w:after="0" w:line="240" w:lineRule="auto"/>
              <w:rPr>
                <w:sz w:val="20"/>
                <w:szCs w:val="20"/>
              </w:rPr>
            </w:pPr>
            <w:r w:rsidRPr="00175B05">
              <w:rPr>
                <w:sz w:val="20"/>
                <w:szCs w:val="20"/>
              </w:rPr>
              <w:t>Teacher models the actual task and how it is to be completed</w:t>
            </w:r>
          </w:p>
        </w:tc>
      </w:tr>
      <w:tr w:rsidR="00D94C5D" w:rsidRPr="00175B05" w14:paraId="07D74BBB" w14:textId="77777777" w:rsidTr="00D94C5D">
        <w:trPr>
          <w:trHeight w:val="345"/>
        </w:trPr>
        <w:tc>
          <w:tcPr>
            <w:tcW w:w="2183" w:type="dxa"/>
            <w:vMerge/>
          </w:tcPr>
          <w:p w14:paraId="494F90AE" w14:textId="77777777" w:rsidR="001B21A2" w:rsidRPr="00175B05" w:rsidRDefault="001B21A2" w:rsidP="004F58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14:paraId="0C6E4A51" w14:textId="77777777" w:rsidR="001B21A2" w:rsidRPr="00175B05" w:rsidRDefault="001B21A2" w:rsidP="004F58E1">
            <w:pPr>
              <w:jc w:val="center"/>
              <w:rPr>
                <w:sz w:val="20"/>
                <w:szCs w:val="20"/>
              </w:rPr>
            </w:pPr>
            <w:r w:rsidRPr="00175B05">
              <w:rPr>
                <w:sz w:val="20"/>
                <w:szCs w:val="20"/>
              </w:rPr>
              <w:t>Scaffolding &amp; Fading</w:t>
            </w:r>
          </w:p>
        </w:tc>
        <w:tc>
          <w:tcPr>
            <w:tcW w:w="8528" w:type="dxa"/>
          </w:tcPr>
          <w:p w14:paraId="7E25B680" w14:textId="77777777" w:rsidR="001B21A2" w:rsidRPr="00175B05" w:rsidRDefault="001B21A2" w:rsidP="004F58E1">
            <w:pPr>
              <w:spacing w:after="100" w:afterAutospacing="1" w:line="240" w:lineRule="auto"/>
              <w:rPr>
                <w:sz w:val="20"/>
                <w:szCs w:val="20"/>
              </w:rPr>
            </w:pPr>
            <w:r w:rsidRPr="00175B05">
              <w:rPr>
                <w:sz w:val="20"/>
                <w:szCs w:val="20"/>
              </w:rPr>
              <w:t xml:space="preserve">The teacher provides some cues to assist the student to recall how to complete the task.  These cues occur less often and are faded </w:t>
            </w:r>
            <w:proofErr w:type="gramStart"/>
            <w:r w:rsidRPr="00175B05">
              <w:rPr>
                <w:sz w:val="20"/>
                <w:szCs w:val="20"/>
              </w:rPr>
              <w:t>out</w:t>
            </w:r>
            <w:proofErr w:type="gramEnd"/>
            <w:r w:rsidRPr="00175B05">
              <w:rPr>
                <w:sz w:val="20"/>
                <w:szCs w:val="20"/>
              </w:rPr>
              <w:t xml:space="preserve"> as the student is able to increasingly complete the task independently.</w:t>
            </w:r>
          </w:p>
        </w:tc>
      </w:tr>
      <w:tr w:rsidR="00D94C5D" w:rsidRPr="00175B05" w14:paraId="27E40A43" w14:textId="77777777" w:rsidTr="00D94C5D">
        <w:trPr>
          <w:trHeight w:val="345"/>
        </w:trPr>
        <w:tc>
          <w:tcPr>
            <w:tcW w:w="2183" w:type="dxa"/>
            <w:vMerge/>
          </w:tcPr>
          <w:p w14:paraId="698108E4" w14:textId="77777777" w:rsidR="001B21A2" w:rsidRPr="00175B05" w:rsidRDefault="001B21A2" w:rsidP="004F58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14:paraId="163F095E" w14:textId="77777777" w:rsidR="001B21A2" w:rsidRPr="00175B05" w:rsidRDefault="001B21A2" w:rsidP="004F58E1">
            <w:pPr>
              <w:jc w:val="center"/>
              <w:rPr>
                <w:sz w:val="20"/>
                <w:szCs w:val="20"/>
              </w:rPr>
            </w:pPr>
            <w:r w:rsidRPr="00175B05">
              <w:rPr>
                <w:sz w:val="20"/>
                <w:szCs w:val="20"/>
              </w:rPr>
              <w:t>Coaching</w:t>
            </w:r>
          </w:p>
        </w:tc>
        <w:tc>
          <w:tcPr>
            <w:tcW w:w="8528" w:type="dxa"/>
          </w:tcPr>
          <w:p w14:paraId="0B571C44" w14:textId="77777777" w:rsidR="001B21A2" w:rsidRPr="00175B05" w:rsidRDefault="001B21A2" w:rsidP="004F58E1">
            <w:pPr>
              <w:spacing w:after="0" w:line="240" w:lineRule="auto"/>
              <w:rPr>
                <w:sz w:val="20"/>
                <w:szCs w:val="20"/>
              </w:rPr>
            </w:pPr>
            <w:r w:rsidRPr="00175B05">
              <w:rPr>
                <w:sz w:val="20"/>
                <w:szCs w:val="20"/>
              </w:rPr>
              <w:t>The teacher guides, prompts and provides feedback as the student engages in the task.  This support is required on an ongoing basis.</w:t>
            </w:r>
          </w:p>
        </w:tc>
      </w:tr>
      <w:tr w:rsidR="00D94C5D" w:rsidRPr="00175B05" w14:paraId="552B4FEB" w14:textId="77777777" w:rsidTr="00D94C5D">
        <w:trPr>
          <w:trHeight w:val="883"/>
        </w:trPr>
        <w:tc>
          <w:tcPr>
            <w:tcW w:w="2183" w:type="dxa"/>
            <w:tcBorders>
              <w:right w:val="nil"/>
            </w:tcBorders>
          </w:tcPr>
          <w:p w14:paraId="726A7099" w14:textId="77777777" w:rsidR="001B21A2" w:rsidRPr="00175B05" w:rsidRDefault="001B21A2" w:rsidP="004F58E1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left w:val="nil"/>
              <w:right w:val="nil"/>
            </w:tcBorders>
          </w:tcPr>
          <w:p w14:paraId="786E89A0" w14:textId="77777777" w:rsidR="001B21A2" w:rsidRPr="00175B05" w:rsidRDefault="001B21A2" w:rsidP="004F58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8" w:type="dxa"/>
            <w:tcBorders>
              <w:left w:val="nil"/>
            </w:tcBorders>
          </w:tcPr>
          <w:p w14:paraId="43A2BCA1" w14:textId="77777777" w:rsidR="001B21A2" w:rsidRPr="00175B05" w:rsidRDefault="001B21A2" w:rsidP="004F58E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94C5D" w:rsidRPr="00175B05" w14:paraId="40919EB0" w14:textId="77777777" w:rsidTr="00D94C5D">
        <w:trPr>
          <w:trHeight w:val="1168"/>
        </w:trPr>
        <w:tc>
          <w:tcPr>
            <w:tcW w:w="2183" w:type="dxa"/>
            <w:vMerge w:val="restart"/>
          </w:tcPr>
          <w:p w14:paraId="79A5C5A1" w14:textId="77777777" w:rsidR="001B21A2" w:rsidRPr="00175B05" w:rsidRDefault="001B21A2" w:rsidP="004F58E1">
            <w:pPr>
              <w:jc w:val="center"/>
              <w:rPr>
                <w:sz w:val="20"/>
                <w:szCs w:val="20"/>
              </w:rPr>
            </w:pPr>
          </w:p>
          <w:p w14:paraId="679BBAD4" w14:textId="77777777" w:rsidR="001B21A2" w:rsidRPr="00175B05" w:rsidRDefault="001B21A2" w:rsidP="004F5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Responsibility of the Learner</w:t>
            </w:r>
          </w:p>
        </w:tc>
        <w:tc>
          <w:tcPr>
            <w:tcW w:w="2234" w:type="dxa"/>
          </w:tcPr>
          <w:p w14:paraId="5C5B5545" w14:textId="77777777" w:rsidR="001B21A2" w:rsidRPr="00175B05" w:rsidRDefault="001B21A2" w:rsidP="004F58E1">
            <w:pPr>
              <w:jc w:val="center"/>
              <w:rPr>
                <w:sz w:val="20"/>
                <w:szCs w:val="20"/>
              </w:rPr>
            </w:pPr>
            <w:r w:rsidRPr="00175B05">
              <w:rPr>
                <w:sz w:val="20"/>
                <w:szCs w:val="20"/>
              </w:rPr>
              <w:t>Articulation</w:t>
            </w:r>
          </w:p>
        </w:tc>
        <w:tc>
          <w:tcPr>
            <w:tcW w:w="8528" w:type="dxa"/>
          </w:tcPr>
          <w:p w14:paraId="36E31461" w14:textId="77777777" w:rsidR="001B21A2" w:rsidRPr="00175B05" w:rsidRDefault="001B21A2" w:rsidP="004F58E1">
            <w:pPr>
              <w:spacing w:after="0" w:line="240" w:lineRule="auto"/>
              <w:rPr>
                <w:sz w:val="20"/>
                <w:szCs w:val="20"/>
              </w:rPr>
            </w:pPr>
            <w:r w:rsidRPr="00175B05">
              <w:rPr>
                <w:sz w:val="20"/>
                <w:szCs w:val="20"/>
              </w:rPr>
              <w:t>Student explains what they have learned (i.e</w:t>
            </w:r>
            <w:proofErr w:type="gramStart"/>
            <w:r w:rsidRPr="00175B05">
              <w:rPr>
                <w:sz w:val="20"/>
                <w:szCs w:val="20"/>
              </w:rPr>
              <w:t>.  Knowledge</w:t>
            </w:r>
            <w:proofErr w:type="gramEnd"/>
            <w:r w:rsidRPr="00175B05">
              <w:rPr>
                <w:sz w:val="20"/>
                <w:szCs w:val="20"/>
              </w:rPr>
              <w:t xml:space="preserve"> / process strategy) and when they can use what they have learned.</w:t>
            </w:r>
          </w:p>
        </w:tc>
      </w:tr>
      <w:tr w:rsidR="00D94C5D" w:rsidRPr="00175B05" w14:paraId="579888B3" w14:textId="77777777" w:rsidTr="00D94C5D">
        <w:trPr>
          <w:trHeight w:val="345"/>
        </w:trPr>
        <w:tc>
          <w:tcPr>
            <w:tcW w:w="2183" w:type="dxa"/>
            <w:vMerge/>
          </w:tcPr>
          <w:p w14:paraId="2D818A6C" w14:textId="77777777" w:rsidR="001B21A2" w:rsidRPr="00175B05" w:rsidRDefault="001B21A2" w:rsidP="004F58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14:paraId="5DA82BD2" w14:textId="77777777" w:rsidR="001B21A2" w:rsidRPr="00175B05" w:rsidRDefault="001B21A2" w:rsidP="004F58E1">
            <w:pPr>
              <w:jc w:val="center"/>
              <w:rPr>
                <w:sz w:val="20"/>
                <w:szCs w:val="20"/>
              </w:rPr>
            </w:pPr>
            <w:r w:rsidRPr="00175B05">
              <w:rPr>
                <w:sz w:val="20"/>
                <w:szCs w:val="20"/>
              </w:rPr>
              <w:t>Reflection</w:t>
            </w:r>
          </w:p>
        </w:tc>
        <w:tc>
          <w:tcPr>
            <w:tcW w:w="8528" w:type="dxa"/>
          </w:tcPr>
          <w:p w14:paraId="17A60849" w14:textId="77777777" w:rsidR="001B21A2" w:rsidRPr="00175B05" w:rsidRDefault="001B21A2" w:rsidP="004F58E1">
            <w:pPr>
              <w:spacing w:after="0" w:line="240" w:lineRule="auto"/>
              <w:rPr>
                <w:sz w:val="20"/>
                <w:szCs w:val="20"/>
              </w:rPr>
            </w:pPr>
            <w:r w:rsidRPr="00175B05">
              <w:rPr>
                <w:sz w:val="20"/>
                <w:szCs w:val="20"/>
              </w:rPr>
              <w:t>Students reflect on what they have learned focusing on identifying what they know now that that they did not know before.</w:t>
            </w:r>
          </w:p>
        </w:tc>
      </w:tr>
      <w:tr w:rsidR="00D94C5D" w:rsidRPr="00175B05" w14:paraId="47ED2EA5" w14:textId="77777777" w:rsidTr="00D94C5D">
        <w:trPr>
          <w:trHeight w:val="345"/>
        </w:trPr>
        <w:tc>
          <w:tcPr>
            <w:tcW w:w="2183" w:type="dxa"/>
            <w:vMerge/>
          </w:tcPr>
          <w:p w14:paraId="11C10D01" w14:textId="77777777" w:rsidR="001B21A2" w:rsidRPr="00175B05" w:rsidRDefault="001B21A2" w:rsidP="004F58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14:paraId="361C87E7" w14:textId="77777777" w:rsidR="001B21A2" w:rsidRPr="00175B05" w:rsidRDefault="001B21A2" w:rsidP="004F58E1">
            <w:pPr>
              <w:jc w:val="center"/>
              <w:rPr>
                <w:sz w:val="20"/>
                <w:szCs w:val="20"/>
              </w:rPr>
            </w:pPr>
            <w:r w:rsidRPr="00175B05">
              <w:rPr>
                <w:sz w:val="20"/>
                <w:szCs w:val="20"/>
              </w:rPr>
              <w:t>Exploratio</w:t>
            </w:r>
            <w:r>
              <w:rPr>
                <w:sz w:val="20"/>
                <w:szCs w:val="20"/>
              </w:rPr>
              <w:t>n</w:t>
            </w:r>
          </w:p>
        </w:tc>
        <w:tc>
          <w:tcPr>
            <w:tcW w:w="8528" w:type="dxa"/>
          </w:tcPr>
          <w:p w14:paraId="7F9666A8" w14:textId="77777777" w:rsidR="001B21A2" w:rsidRPr="00175B05" w:rsidRDefault="001B21A2" w:rsidP="004F58E1">
            <w:pPr>
              <w:spacing w:after="0" w:line="240" w:lineRule="auto"/>
              <w:rPr>
                <w:sz w:val="20"/>
                <w:szCs w:val="20"/>
              </w:rPr>
            </w:pPr>
            <w:r w:rsidRPr="00175B05">
              <w:rPr>
                <w:sz w:val="20"/>
                <w:szCs w:val="20"/>
              </w:rPr>
              <w:t>Students are encouraged to consider how they can use what they have learned (</w:t>
            </w:r>
            <w:proofErr w:type="spellStart"/>
            <w:r w:rsidRPr="00175B05">
              <w:rPr>
                <w:sz w:val="20"/>
                <w:szCs w:val="20"/>
              </w:rPr>
              <w:t>ie</w:t>
            </w:r>
            <w:proofErr w:type="spellEnd"/>
            <w:r w:rsidRPr="00175B05">
              <w:rPr>
                <w:sz w:val="20"/>
                <w:szCs w:val="20"/>
              </w:rPr>
              <w:t>. knowledge / process strategy) in new tasks and contexts.</w:t>
            </w:r>
          </w:p>
        </w:tc>
      </w:tr>
    </w:tbl>
    <w:p w14:paraId="71235445" w14:textId="77777777" w:rsidR="001B21A2" w:rsidRPr="00990E2E" w:rsidRDefault="001B21A2" w:rsidP="001B21A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990E2E">
        <w:rPr>
          <w:sz w:val="20"/>
          <w:szCs w:val="20"/>
        </w:rPr>
        <w:t>Table 1 Model of teaching &amp; Learning (</w:t>
      </w:r>
      <w:bookmarkStart w:id="0" w:name="OLE_LINK5"/>
      <w:bookmarkStart w:id="1" w:name="OLE_LINK6"/>
      <w:bookmarkStart w:id="2" w:name="OLE_LINK7"/>
      <w:bookmarkStart w:id="3" w:name="_GoBack"/>
      <w:r w:rsidRPr="00990E2E">
        <w:rPr>
          <w:sz w:val="20"/>
          <w:szCs w:val="20"/>
        </w:rPr>
        <w:t>Collins, Brown &amp; Newman, 1989)</w:t>
      </w:r>
      <w:bookmarkEnd w:id="0"/>
      <w:bookmarkEnd w:id="1"/>
      <w:bookmarkEnd w:id="2"/>
      <w:bookmarkEnd w:id="3"/>
    </w:p>
    <w:p w14:paraId="7364BD38" w14:textId="77777777" w:rsidR="0060048C" w:rsidRDefault="0060048C"/>
    <w:sectPr w:rsidR="0060048C" w:rsidSect="001B21A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1A2"/>
    <w:rsid w:val="001B21A2"/>
    <w:rsid w:val="001F53BE"/>
    <w:rsid w:val="0060048C"/>
    <w:rsid w:val="006A2824"/>
    <w:rsid w:val="00D9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1B88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1A2"/>
    <w:pPr>
      <w:spacing w:after="200" w:line="276" w:lineRule="auto"/>
    </w:pPr>
    <w:rPr>
      <w:rFonts w:ascii="Calibri" w:eastAsia="Calibri" w:hAnsi="Calibri" w:cs="Times New Roman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1A2"/>
    <w:pPr>
      <w:spacing w:after="200" w:line="276" w:lineRule="auto"/>
    </w:pPr>
    <w:rPr>
      <w:rFonts w:ascii="Calibri" w:eastAsia="Calibri" w:hAnsi="Calibri" w:cs="Times New Roman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Macintosh Word</Application>
  <DocSecurity>0</DocSecurity>
  <Lines>7</Lines>
  <Paragraphs>2</Paragraphs>
  <ScaleCrop>false</ScaleCrop>
  <Company>CEO Ballarat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Rampling</dc:creator>
  <cp:keywords/>
  <dc:description/>
  <cp:lastModifiedBy>Susan Rampling</cp:lastModifiedBy>
  <cp:revision>3</cp:revision>
  <dcterms:created xsi:type="dcterms:W3CDTF">2011-09-22T04:09:00Z</dcterms:created>
  <dcterms:modified xsi:type="dcterms:W3CDTF">2011-09-22T04:15:00Z</dcterms:modified>
</cp:coreProperties>
</file>